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2"/>
        <w:numPr>
          <w:ilvl w:val="0"/>
          <w:numId w:val="0"/>
        </w:numPr>
        <w:ind w:left="0" w:right="0" w:firstLine="567"/>
        <w:jc w:val="both"/>
        <w:spacing w:lineRule="auto" w:line="295" w:after="0" w:before="0"/>
        <w:widowControl/>
        <w:rPr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40"/>
        </w:rPr>
        <w:t xml:space="preserve">Порядок выдачи справки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40"/>
          <w:lang w:val="ru-RU"/>
        </w:rPr>
        <w:t xml:space="preserve">в ООО «Аврора»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40"/>
        </w:rPr>
        <w:t xml:space="preserve">об оплате медицинских услуг для предоставления в налоговые органы Российской Федерации</w:t>
      </w:r>
      <w:r>
        <w:rPr>
          <w:sz w:val="28"/>
        </w:rPr>
      </w:r>
    </w:p>
    <w:p>
      <w:pPr>
        <w:pStyle w:val="608"/>
        <w:ind w:left="0" w:right="0" w:firstLine="0"/>
        <w:jc w:val="left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Налоговый вычет за лечение может получить налогоплательщик, оплативший медицинские услуги, в том числе дорогостоящие, оказанные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ему самому, его супругу (супруге), родителям, а также детям (в том числе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усыновленным) и подопечным в возрасте до 18 лет. А также на детей в возрасте до 24 лет при условии, что они обучаются в образовательных организациях в очной форме (поправка от 14.07.2022 № 323-ФЗ применяется к расходам на лечение, понесенным с 2022 года).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Максимальная сумма расходов на лечение, с которой можно получить налоговый вычет, – 12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0 000 рублей за услуги, оказанные до 2024 года; 150 000 рублей за услуги, оказанные в 2024 году и последующих. По дорогостоящим видам лечения сумма налогового вычета принимается в размере фактически произведенных расходов, без учета указанного ограничения.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Налоговый вычет можно получить за предыдущие три года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 xml:space="preserve">(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за каждый год выдаётся отдельная справка)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Вычет сумм оплаты стоимости медицинских услуг предоставляется налогоплательщику, если услуги оказываются в медицинских организациях, имеющих лицензии на осуществление медицинской деятельности.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Справка,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которую выдаёт медицинское учреждение,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удостоверяет факт получения медицинской услуги и ее оплаты через кассу учреждения здравоохранения за счет средств налогоплательщика.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Обращаем Ваше внимание, что 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перечню документов, необходимых для получения налогового вычета за лечение, предоставление лицензии медицинского учреждения не является обязательным для заявителя, если номер лицензии указан в договоре (Письмо ФНС России от 25.03.2022 г. № БС-4-11/3605). 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Если всё же Вам необходим скан лицензии, Вы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можете найти его на нашем сайте.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Чеки на оплату медицинских услуг предоставлять также не нужно, поскольку справка, выданная клиникой, уже является финансовым документом.</w:t>
      </w:r>
      <w:r/>
    </w:p>
    <w:p>
      <w:pPr>
        <w:pStyle w:val="608"/>
        <w:ind w:left="0" w:right="0" w:firstLine="0"/>
        <w:jc w:val="left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608"/>
        <w:ind w:left="0" w:right="0" w:firstLine="0"/>
        <w:jc w:val="left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Условия предоставления Справки: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ДЛЯ МЕДИЦИНСКИХ УСЛУГ, ОКАЗАННЫХ ДО 2024 года: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апрос на оформление справки принимается при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личном обращении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пациента (налогоплательщика) в клинику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или по телефону.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Срок изготовления справки составляет до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14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четырнадцати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 календарных дней с момента подачи заявки, в зависимости от загруженности.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За оказанные медицинские услуги до 2024 г., заполняется Справка об оплате медицинских услуг по форме, утвержденной Приказом МНС России и Минздрава России от 25.07.2001 № 289/БГ-3-04/256.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зависимости от того, относится ли лечение к дорогостоящему или нет, в справке об оплате медицинских услуг для налоговых органов может быть проставлен код: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КОД 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(лечение недорогостоящее, «обычное»);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КОД 2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(лечение дорогостоящее. В соответствии с Перечнем дорогостоящих видов лечения, утвержденным постановлением Правительства РФ от 08.04.2020 г. № 458).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К коду 2 в стоматологии относится «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Внутрикостная дентальная имплантация»,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а также П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ротезирование данного зуба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(с 2022 года).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Другое стоматологическое лечение (терапия, хирургия и протезирование) относ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тся к коду 1. 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Определение соответствующего кода в справке находится в компетенции медицинского учреждения, оказавшего медицинские услуги (</w:t>
      </w:r>
      <w:hyperlink r:id="rId10" w:tooltip="http://just-ice.info/2019/08/15/pismo-ufns-msk-21-04-2010-042697/" w:history="1">
        <w:r>
          <w:rPr>
            <w:rStyle w:val="614"/>
          </w:rPr>
        </w:r>
        <w:r>
          <w:rPr>
            <w:rStyle w:val="614"/>
            <w:rFonts w:ascii="Times New Roman" w:hAnsi="Times New Roman"/>
            <w:b w:val="false"/>
            <w:i w:val="false"/>
            <w:caps w:val="false"/>
            <w:smallCaps w:val="false"/>
            <w:strike w:val="false"/>
            <w:color w:val="006227"/>
            <w:spacing w:val="0"/>
            <w:sz w:val="24"/>
            <w:szCs w:val="24"/>
            <w:u w:val="single"/>
          </w:rPr>
          <w:t xml:space="preserve">Письма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УФНС России по г. Москве от 21.04.2010 № 20-14/4/042697, от 28.01.2010 № 20-14/4/008328).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ДЛЯ МЕДИЦИНСКИХ УСЛУГ, ОКАЗАННЫХ В 2024 году и последующих: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Приказом ФНС от 08.11.2023 г. № ЕА-7-11/824@ утверждена новая форма Справки об оплате медицинских услуг для предоставления в налоговые органы.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соответствии с этим Приказом, Справка для налогового вычета выдается </w:t>
      </w:r>
      <w:r/>
    </w:p>
    <w:p>
      <w:pPr>
        <w:pStyle w:val="608"/>
        <w:ind w:left="0" w:right="0" w:firstLine="567"/>
        <w:jc w:val="both"/>
        <w:spacing w:lineRule="auto" w:line="360" w:after="0" w:before="0"/>
        <w:widowControl/>
        <w:rPr>
          <w:rFonts w:ascii="Times New Roman" w:hAnsi="Times New Roman"/>
          <w:b/>
          <w:b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ПО ЗАЯВЛЕНИЮ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пациента (налогоплательщика).</w:t>
      </w:r>
      <w:r/>
    </w:p>
    <w:p>
      <w:pPr>
        <w:pStyle w:val="608"/>
        <w:ind w:left="0" w:right="0" w:firstLine="0"/>
        <w:jc w:val="both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Подать заявление на оформление справки можно одним из следующих способов:</w:t>
      </w:r>
      <w:r/>
    </w:p>
    <w:p>
      <w:pPr>
        <w:pStyle w:val="608"/>
        <w:contextualSpacing w:val="false"/>
        <w:ind w:left="0" w:right="0" w:firstLine="0"/>
        <w:jc w:val="both"/>
        <w:spacing w:lineRule="auto" w:line="360" w:after="15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Заполнить заявление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лично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придя в клинику по адресу г.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Пермь, ул.Чкалова, 48.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Направить на электронную почту: </w:t>
      </w:r>
      <w:hyperlink r:id="rId11" w:tooltip="mailto:avroraecomed@yandex.ru" w:history="1">
        <w:r>
          <w:rPr>
            <w:rStyle w:val="614"/>
          </w:rPr>
          <w:t xml:space="preserve">avroraecomed@yandex.ru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скан копию письменного заявления, подписанного собственноручной подписью.</w:t>
      </w:r>
      <w:r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</w:rPr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none"/>
        </w:rPr>
      </w:r>
    </w:p>
    <w:p>
      <w:pPr>
        <w:pStyle w:val="608"/>
        <w:ind w:left="0" w:right="0" w:firstLine="567"/>
        <w:jc w:val="both"/>
        <w:spacing w:lineRule="auto" w:line="360" w:after="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Для заполнения Заявления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необходим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ы сл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едующие данные: ФИО налогоплательщика и ФИО пациента, даты рождения налогоплательщика и пациента , ИНН налогоплательщика и пациента (если пациент взрослый), данные свидетельства о рождении, если пациент ребёнок. Можно вместо ИНН сообщить паспортные данные.</w:t>
      </w:r>
      <w:r/>
    </w:p>
    <w:p>
      <w:pPr>
        <w:pStyle w:val="608"/>
        <w:ind w:left="0" w:right="0" w:firstLine="0"/>
        <w:jc w:val="both"/>
        <w:spacing w:lineRule="auto" w:line="360" w:after="150" w:before="0"/>
        <w:widowControl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БРАЗЕЦ ЗАЯВЛЕНИЯ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можно скачать на нашем сайте.</w:t>
      </w:r>
      <w:r/>
    </w:p>
    <w:p>
      <w:pPr>
        <w:pStyle w:val="608"/>
        <w:jc w:val="center"/>
        <w:spacing w:lineRule="auto" w:line="360" w:after="0" w:before="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08"/>
        <w:ind w:left="0" w:right="0" w:firstLine="0"/>
        <w:jc w:val="left"/>
        <w:spacing w:lineRule="auto" w:line="36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608"/>
        <w:ind w:left="0" w:right="0" w:firstLine="0"/>
        <w:jc w:val="left"/>
        <w:spacing w:lineRule="auto" w:line="360" w:after="0" w:before="0"/>
        <w:widowControl/>
        <w:rPr>
          <w:rFonts w:ascii="Times New Roman" w:hAnsi="Times New Roman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/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imSun">
    <w:panose1 w:val="02010600030101010101"/>
  </w:font>
  <w:font w:name="OpenSymbol">
    <w:panose1 w:val="05000000000000000000"/>
  </w:font>
  <w:font w:name="Mangal">
    <w:panose1 w:val="02040503050201020203"/>
  </w:font>
  <w:font w:name="Liberation Serif">
    <w:panose1 w:val="02020603050405020304"/>
  </w:font>
  <w:font w:name="&amp;apos;Times New Roman&amp;apos;">
    <w:panose1 w:val="020B05020202020202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 "/>
      <w:lvlJc w:val="left"/>
      <w:pPr>
        <w:ind w:left="707" w:hanging="283"/>
      </w:pPr>
      <w:rPr>
        <w:rFonts w:ascii="OpenSymbol" w:hAnsi="OpenSymbol" w:cs="OpenSymbol"/>
      </w:rPr>
    </w:lvl>
    <w:lvl w:ilvl="1">
      <w:start w:val="1"/>
      <w:numFmt w:val="bullet"/>
      <w:isLgl w:val="false"/>
      <w:suff w:val="tab"/>
      <w:lvlText w:val="• "/>
      <w:lvlJc w:val="left"/>
      <w:pPr>
        <w:ind w:left="1414" w:hanging="283"/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• "/>
      <w:lvlJc w:val="left"/>
      <w:pPr>
        <w:ind w:left="2121" w:hanging="283"/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• "/>
      <w:lvlJc w:val="left"/>
      <w:pPr>
        <w:ind w:left="2828" w:hanging="283"/>
      </w:pPr>
      <w:rPr>
        <w:rFonts w:ascii="OpenSymbol" w:hAnsi="OpenSymbol" w:cs="OpenSymbol"/>
      </w:rPr>
    </w:lvl>
    <w:lvl w:ilvl="4">
      <w:start w:val="1"/>
      <w:numFmt w:val="bullet"/>
      <w:isLgl w:val="false"/>
      <w:suff w:val="tab"/>
      <w:lvlText w:val="• "/>
      <w:lvlJc w:val="left"/>
      <w:pPr>
        <w:ind w:left="3535" w:hanging="283"/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• "/>
      <w:lvlJc w:val="left"/>
      <w:pPr>
        <w:ind w:left="4241" w:hanging="283"/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• "/>
      <w:lvlJc w:val="left"/>
      <w:pPr>
        <w:ind w:left="4948" w:hanging="283"/>
      </w:pPr>
      <w:rPr>
        <w:rFonts w:ascii="OpenSymbol" w:hAnsi="OpenSymbol" w:cs="OpenSymbol"/>
      </w:rPr>
    </w:lvl>
    <w:lvl w:ilvl="7">
      <w:start w:val="1"/>
      <w:numFmt w:val="bullet"/>
      <w:isLgl w:val="false"/>
      <w:suff w:val="tab"/>
      <w:lvlText w:val="• "/>
      <w:lvlJc w:val="left"/>
      <w:pPr>
        <w:ind w:left="5656" w:hanging="283"/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• "/>
      <w:lvlJc w:val="left"/>
      <w:pPr>
        <w:ind w:left="6363" w:hanging="283"/>
      </w:pPr>
      <w:rPr>
        <w:rFonts w:ascii="OpenSymbol" w:hAnsi="Open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nothing"/>
      <w:lvlText w:val="%1"/>
      <w:lvlJc w:val="left"/>
      <w:pPr>
        <w:ind w:left="0" w:firstLine="0"/>
      </w:pPr>
    </w:lvl>
    <w:lvl w:ilvl="1">
      <w:start w:val="1"/>
      <w:numFmt w:val="bullet"/>
      <w:isLgl w:val="false"/>
      <w:suff w:val="nothing"/>
      <w:lvlText w:val="%2"/>
      <w:lvlJc w:val="left"/>
      <w:pPr>
        <w:ind w:left="0" w:firstLine="0"/>
      </w:pPr>
    </w:lvl>
    <w:lvl w:ilvl="2">
      <w:start w:val="1"/>
      <w:numFmt w:val="bullet"/>
      <w:isLgl w:val="false"/>
      <w:suff w:val="nothing"/>
      <w:lvlText w:val="%3"/>
      <w:lvlJc w:val="left"/>
      <w:pPr>
        <w:ind w:left="0" w:firstLine="0"/>
      </w:pPr>
    </w:lvl>
    <w:lvl w:ilvl="3">
      <w:start w:val="1"/>
      <w:numFmt w:val="bullet"/>
      <w:isLgl w:val="false"/>
      <w:suff w:val="nothing"/>
      <w:lvlText w:val="%4"/>
      <w:lvlJc w:val="left"/>
      <w:pPr>
        <w:ind w:left="0" w:firstLine="0"/>
      </w:pPr>
    </w:lvl>
    <w:lvl w:ilvl="4">
      <w:start w:val="1"/>
      <w:numFmt w:val="bullet"/>
      <w:isLgl w:val="false"/>
      <w:suff w:val="nothing"/>
      <w:lvlText w:val="%5"/>
      <w:lvlJc w:val="left"/>
      <w:pPr>
        <w:ind w:left="0" w:firstLine="0"/>
      </w:pPr>
    </w:lvl>
    <w:lvl w:ilvl="5">
      <w:start w:val="1"/>
      <w:numFmt w:val="bullet"/>
      <w:isLgl w:val="false"/>
      <w:suff w:val="nothing"/>
      <w:lvlText w:val="%6"/>
      <w:lvlJc w:val="left"/>
      <w:pPr>
        <w:ind w:left="0" w:firstLine="0"/>
      </w:pPr>
    </w:lvl>
    <w:lvl w:ilvl="6">
      <w:start w:val="1"/>
      <w:numFmt w:val="bullet"/>
      <w:isLgl w:val="false"/>
      <w:suff w:val="nothing"/>
      <w:lvlText w:val="%7"/>
      <w:lvlJc w:val="left"/>
      <w:pPr>
        <w:ind w:left="0" w:firstLine="0"/>
      </w:pPr>
    </w:lvl>
    <w:lvl w:ilvl="7">
      <w:start w:val="1"/>
      <w:numFmt w:val="bullet"/>
      <w:isLgl w:val="false"/>
      <w:suff w:val="nothing"/>
      <w:lvlText w:val="%8"/>
      <w:lvlJc w:val="left"/>
      <w:pPr>
        <w:ind w:left="0" w:firstLine="0"/>
      </w:pPr>
    </w:lvl>
    <w:lvl w:ilvl="8">
      <w:start w:val="1"/>
      <w:numFmt w:val="bullet"/>
      <w:isLgl w:val="false"/>
      <w:suff w:val="nothing"/>
      <w:lvlText w:val="%9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 "/>
      <w:lvlJc w:val="left"/>
      <w:pPr>
        <w:ind w:left="707" w:hanging="283"/>
      </w:pPr>
    </w:lvl>
    <w:lvl w:ilvl="1">
      <w:start w:val="1"/>
      <w:numFmt w:val="bullet"/>
      <w:isLgl w:val="false"/>
      <w:suff w:val="tab"/>
      <w:lvlText w:val="• "/>
      <w:lvlJc w:val="left"/>
      <w:pPr>
        <w:ind w:left="1414" w:hanging="283"/>
      </w:pPr>
    </w:lvl>
    <w:lvl w:ilvl="2">
      <w:start w:val="1"/>
      <w:numFmt w:val="bullet"/>
      <w:isLgl w:val="false"/>
      <w:suff w:val="tab"/>
      <w:lvlText w:val="• "/>
      <w:lvlJc w:val="left"/>
      <w:pPr>
        <w:ind w:left="2121" w:hanging="283"/>
      </w:pPr>
    </w:lvl>
    <w:lvl w:ilvl="3">
      <w:start w:val="1"/>
      <w:numFmt w:val="bullet"/>
      <w:isLgl w:val="false"/>
      <w:suff w:val="tab"/>
      <w:lvlText w:val="• "/>
      <w:lvlJc w:val="left"/>
      <w:pPr>
        <w:ind w:left="2828" w:hanging="283"/>
      </w:pPr>
    </w:lvl>
    <w:lvl w:ilvl="4">
      <w:start w:val="1"/>
      <w:numFmt w:val="bullet"/>
      <w:isLgl w:val="false"/>
      <w:suff w:val="tab"/>
      <w:lvlText w:val="• "/>
      <w:lvlJc w:val="left"/>
      <w:pPr>
        <w:ind w:left="3535" w:hanging="283"/>
      </w:pPr>
    </w:lvl>
    <w:lvl w:ilvl="5">
      <w:start w:val="1"/>
      <w:numFmt w:val="bullet"/>
      <w:isLgl w:val="false"/>
      <w:suff w:val="tab"/>
      <w:lvlText w:val="• "/>
      <w:lvlJc w:val="left"/>
      <w:pPr>
        <w:ind w:left="4241" w:hanging="283"/>
      </w:pPr>
    </w:lvl>
    <w:lvl w:ilvl="6">
      <w:start w:val="1"/>
      <w:numFmt w:val="bullet"/>
      <w:isLgl w:val="false"/>
      <w:suff w:val="tab"/>
      <w:lvlText w:val="• "/>
      <w:lvlJc w:val="left"/>
      <w:pPr>
        <w:ind w:left="4948" w:hanging="283"/>
      </w:pPr>
    </w:lvl>
    <w:lvl w:ilvl="7">
      <w:start w:val="1"/>
      <w:numFmt w:val="bullet"/>
      <w:isLgl w:val="false"/>
      <w:suff w:val="tab"/>
      <w:lvlText w:val="• "/>
      <w:lvlJc w:val="left"/>
      <w:pPr>
        <w:ind w:left="5656" w:hanging="283"/>
      </w:pPr>
    </w:lvl>
    <w:lvl w:ilvl="8">
      <w:start w:val="1"/>
      <w:numFmt w:val="bullet"/>
      <w:isLgl w:val="false"/>
      <w:suff w:val="tab"/>
      <w:lvlText w:val="• "/>
      <w:lvlJc w:val="left"/>
      <w:pPr>
        <w:ind w:left="6363" w:hanging="283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">
    <w:name w:val="Normal"/>
    <w:qFormat/>
  </w:style>
  <w:style w:type="character" w:styleId="12">
    <w:name w:val="Heading 1 Char"/>
    <w:basedOn w:val="9"/>
    <w:link w:val="612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10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5" w:default="1">
    <w:name w:val="DStyle_paragraph"/>
    <w:rPr>
      <w:rFonts w:ascii="Liberation Serif" w:hAnsi="Liberation Serif" w:cs="Mangal" w:eastAsia="SimSun"/>
      <w:color w:val="auto"/>
      <w:sz w:val="24"/>
      <w:szCs w:val="24"/>
      <w:lang w:val="en-US" w:bidi="hi-IN" w:eastAsia="zh-CN"/>
    </w:rPr>
    <w:pPr>
      <w:widowControl/>
    </w:pPr>
  </w:style>
  <w:style w:type="paragraph" w:styleId="606" w:customStyle="1">
    <w:name w:val="Standard"/>
    <w:basedOn w:val="605"/>
  </w:style>
  <w:style w:type="paragraph" w:styleId="607" w:customStyle="1">
    <w:name w:val="Heading"/>
    <w:basedOn w:val="606"/>
    <w:next w:val="608"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608" w:customStyle="1">
    <w:name w:val="Text body"/>
    <w:basedOn w:val="606"/>
    <w:qFormat/>
    <w:pPr>
      <w:spacing w:lineRule="auto" w:line="288" w:after="140" w:before="0"/>
    </w:pPr>
  </w:style>
  <w:style w:type="paragraph" w:styleId="609" w:customStyle="1">
    <w:name w:val="List"/>
    <w:basedOn w:val="608"/>
    <w:rPr>
      <w:rFonts w:cs="Mangal"/>
    </w:rPr>
  </w:style>
  <w:style w:type="paragraph" w:styleId="610" w:customStyle="1">
    <w:name w:val="Caption"/>
    <w:basedOn w:val="606"/>
    <w:rPr>
      <w:rFonts w:cs="Mangal"/>
      <w:i/>
      <w:iCs/>
      <w:sz w:val="24"/>
      <w:szCs w:val="24"/>
    </w:rPr>
    <w:pPr>
      <w:spacing w:after="120" w:before="120"/>
    </w:pPr>
  </w:style>
  <w:style w:type="paragraph" w:styleId="611" w:customStyle="1">
    <w:name w:val="Index"/>
    <w:basedOn w:val="606"/>
    <w:rPr>
      <w:rFonts w:cs="Mangal"/>
    </w:rPr>
  </w:style>
  <w:style w:type="paragraph" w:styleId="612" w:customStyle="1">
    <w:name w:val="Heading 1"/>
    <w:basedOn w:val="607"/>
    <w:next w:val="608"/>
    <w:qFormat/>
    <w:rPr>
      <w:rFonts w:ascii="Liberation Serif" w:hAnsi="Liberation Serif" w:cs="Arial" w:eastAsia="NSimSun"/>
      <w:b/>
      <w:bCs/>
      <w:sz w:val="48"/>
      <w:szCs w:val="48"/>
    </w:rPr>
    <w:pPr>
      <w:numPr>
        <w:ilvl w:val="0"/>
        <w:numId w:val="0"/>
      </w:numPr>
      <w:spacing w:after="120" w:before="240"/>
      <w:outlineLvl w:val="1"/>
    </w:pPr>
  </w:style>
  <w:style w:type="character" w:styleId="613" w:customStyle="1">
    <w:name w:val="Strong Emphasis"/>
    <w:basedOn w:val="605"/>
    <w:qFormat/>
    <w:rPr>
      <w:b/>
      <w:bCs/>
    </w:rPr>
  </w:style>
  <w:style w:type="character" w:styleId="614" w:customStyle="1">
    <w:name w:val="Internet link"/>
    <w:basedOn w:val="605"/>
    <w:qFormat/>
    <w:rPr>
      <w:color w:val="000080"/>
      <w:u w:val="single"/>
    </w:rPr>
  </w:style>
  <w:style w:type="character" w:styleId="615" w:customStyle="1">
    <w:name w:val="Bullet Symbols"/>
    <w:basedOn w:val="605"/>
    <w:qFormat/>
    <w:rPr>
      <w:rFonts w:ascii="OpenSymbol" w:hAnsi="OpenSymbol" w:cs="OpenSymbol" w:eastAsia="OpenSymbol"/>
    </w:rPr>
  </w:style>
  <w:style w:type="character" w:styleId="616" w:customStyle="1">
    <w:name w:val="ListLabel 1"/>
    <w:basedOn w:val="605"/>
    <w:qFormat/>
    <w:rPr>
      <w:rFonts w:ascii="Times New Roman" w:hAnsi="Times New Roman" w:cs="'Times New Roman'" w:eastAsia="OpenSymbol"/>
      <w:b w:val="false"/>
      <w:sz w:val="24"/>
    </w:rPr>
  </w:style>
  <w:style w:type="character" w:styleId="617" w:customStyle="1">
    <w:name w:val="ListLabel 2"/>
    <w:basedOn w:val="605"/>
    <w:qFormat/>
    <w:rPr>
      <w:rFonts w:eastAsia="OpenSymbol"/>
    </w:rPr>
  </w:style>
  <w:style w:type="character" w:styleId="618" w:customStyle="1">
    <w:name w:val="ListLabel 3"/>
    <w:basedOn w:val="605"/>
    <w:qFormat/>
    <w:rPr>
      <w:rFonts w:eastAsia="OpenSymbol"/>
    </w:rPr>
  </w:style>
  <w:style w:type="character" w:styleId="619" w:customStyle="1">
    <w:name w:val="ListLabel 4"/>
    <w:basedOn w:val="605"/>
    <w:qFormat/>
    <w:rPr>
      <w:rFonts w:eastAsia="OpenSymbol"/>
    </w:rPr>
  </w:style>
  <w:style w:type="character" w:styleId="620" w:customStyle="1">
    <w:name w:val="ListLabel 5"/>
    <w:basedOn w:val="605"/>
    <w:qFormat/>
    <w:rPr>
      <w:rFonts w:eastAsia="OpenSymbol"/>
    </w:rPr>
  </w:style>
  <w:style w:type="character" w:styleId="621" w:customStyle="1">
    <w:name w:val="ListLabel 6"/>
    <w:basedOn w:val="605"/>
    <w:qFormat/>
    <w:rPr>
      <w:rFonts w:eastAsia="OpenSymbol"/>
    </w:rPr>
  </w:style>
  <w:style w:type="character" w:styleId="622" w:customStyle="1">
    <w:name w:val="ListLabel 7"/>
    <w:basedOn w:val="605"/>
    <w:qFormat/>
    <w:rPr>
      <w:rFonts w:eastAsia="OpenSymbol"/>
    </w:rPr>
  </w:style>
  <w:style w:type="character" w:styleId="623" w:customStyle="1">
    <w:name w:val="ListLabel 8"/>
    <w:basedOn w:val="605"/>
    <w:qFormat/>
    <w:rPr>
      <w:rFonts w:eastAsia="OpenSymbol"/>
    </w:rPr>
  </w:style>
  <w:style w:type="character" w:styleId="624" w:customStyle="1">
    <w:name w:val="ListLabel 9"/>
    <w:basedOn w:val="605"/>
    <w:qFormat/>
    <w:rPr>
      <w:rFonts w:eastAsia="OpenSymbol"/>
    </w:rPr>
  </w:style>
  <w:style w:type="character" w:styleId="831" w:default="1">
    <w:name w:val="Default Paragraph Font"/>
    <w:uiPriority w:val="1"/>
    <w:semiHidden/>
    <w:unhideWhenUsed/>
  </w:style>
  <w:style w:type="numbering" w:styleId="832" w:default="1">
    <w:name w:val="No List"/>
    <w:uiPriority w:val="99"/>
    <w:semiHidden/>
    <w:unhideWhenUsed/>
  </w:style>
  <w:style w:type="table" w:styleId="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just-ice.info/2019/08/15/pismo-ufns-msk-21-04-2010-042697/" TargetMode="External"/><Relationship Id="rId11" Type="http://schemas.openxmlformats.org/officeDocument/2006/relationships/hyperlink" Target="mailto:avroraecomed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2024-11-23T11:33:18Z</dcterms:modified>
</cp:coreProperties>
</file>